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ind w:firstLine="720" w:left="0" w:right="0"/>
      </w:pPr>
      <w:r>
        <w:rPr/>
        <w:t xml:space="preserve">                      </w:t>
      </w:r>
      <w:r>
        <w:rPr/>
      </w:r>
      <w:r>
        <w:rPr>
          <w:rFonts w:ascii="Book Antiqua" w:cs="Book Antiqua" w:hAnsi="Book Antiqua"/>
          <w:b/>
          <w:bCs/>
          <w:i/>
          <w:iCs/>
          <w:sz w:val="32"/>
          <w:szCs w:val="32"/>
        </w:rPr>
        <w:t>St.Vincent Hospital Center for Cancer Care</w:t>
      </w:r>
    </w:p>
    <w:p>
      <w:pPr>
        <w:pStyle w:val="style0"/>
        <w:tabs>
          <w:tab w:leader="none" w:pos="2160" w:val="left"/>
        </w:tabs>
      </w:pPr>
      <w:r>
        <w:rPr>
          <w:rFonts w:ascii="Book Antiqua" w:cs="Book Antiqua" w:hAnsi="Book Antiqua"/>
          <w:b/>
          <w:bCs/>
          <w:i/>
          <w:iCs/>
        </w:rPr>
        <w:tab/>
        <w:t xml:space="preserve">             Cancer Genetics Risk Assessment Program</w:t>
      </w:r>
    </w:p>
    <w:tbl>
      <w:tblPr>
        <w:jc w:val="left"/>
        <w:tblBorders/>
        <w:tblInd w:type="dxa" w:w="-108"/>
      </w:tblPr>
      <w:tblGrid>
        <w:gridCol w:w="5039"/>
        <w:gridCol w:w="4860"/>
      </w:tblGrid>
      <w:tr>
        <w:trPr>
          <w:cantSplit w:val="false"/>
        </w:trPr>
        <w:tc>
          <w:tcPr>
            <w:tcW w:type="dxa" w:w="5039"/>
            <w:tcBorders/>
            <w:shd w:fill="auto" w:val="clear"/>
            <w:tcMar>
              <w:top w:type="dxa" w:w="0"/>
              <w:left w:type="dxa" w:w="108"/>
              <w:bottom w:type="dxa" w:w="0"/>
              <w:right w:type="dxa" w:w="108"/>
            </w:tcMar>
          </w:tcPr>
          <w:p>
            <w:pPr>
              <w:pStyle w:val="style0"/>
            </w:pPr>
            <w:r>
              <w:rPr>
                <w:rFonts w:ascii="Book Antiqua" w:cs="Book Antiqua" w:hAnsi="Book Antiqua"/>
                <w:i/>
                <w:iCs/>
                <w:sz w:val="20"/>
                <w:szCs w:val="20"/>
              </w:rPr>
              <w:t>8301 Harcourt Road #100</w:t>
            </w:r>
          </w:p>
          <w:p>
            <w:pPr>
              <w:pStyle w:val="style0"/>
            </w:pPr>
            <w:r>
              <w:rPr>
                <w:rFonts w:ascii="Book Antiqua" w:cs="Book Antiqua" w:hAnsi="Book Antiqua"/>
                <w:i/>
                <w:iCs/>
                <w:sz w:val="20"/>
                <w:szCs w:val="20"/>
              </w:rPr>
              <w:t>Indianapolis, Indiana, 46260</w:t>
            </w:r>
          </w:p>
        </w:tc>
        <w:tc>
          <w:tcPr>
            <w:tcW w:type="dxa" w:w="4860"/>
            <w:tcBorders/>
            <w:shd w:fill="auto" w:val="clear"/>
            <w:tcMar>
              <w:top w:type="dxa" w:w="0"/>
              <w:left w:type="dxa" w:w="108"/>
              <w:bottom w:type="dxa" w:w="0"/>
              <w:right w:type="dxa" w:w="108"/>
            </w:tcMar>
          </w:tcPr>
          <w:p>
            <w:pPr>
              <w:pStyle w:val="style0"/>
              <w:jc w:val="right"/>
            </w:pPr>
            <w:r>
              <w:rPr>
                <w:rFonts w:ascii="Book Antiqua" w:cs="Book Antiqua" w:hAnsi="Book Antiqua"/>
                <w:i/>
                <w:iCs/>
                <w:sz w:val="20"/>
                <w:szCs w:val="20"/>
              </w:rPr>
              <w:t>Appointments (317)338-RISK</w:t>
            </w:r>
          </w:p>
          <w:p>
            <w:pPr>
              <w:pStyle w:val="style0"/>
              <w:jc w:val="right"/>
            </w:pPr>
            <w:r>
              <w:rPr>
                <w:rFonts w:ascii="Book Antiqua" w:cs="Book Antiqua" w:hAnsi="Book Antiqua"/>
                <w:i/>
                <w:iCs/>
                <w:sz w:val="20"/>
                <w:szCs w:val="20"/>
              </w:rPr>
              <w:t>Fax (317)583-2436</w:t>
            </w:r>
          </w:p>
        </w:tc>
      </w:tr>
    </w:tbl>
    <w:p>
      <w:pPr>
        <w:pStyle w:val="style0"/>
      </w:pPr>
      <w:r>
        <w:rPr>
          <w:rFonts w:ascii="Book Antiqua" w:cs="Book Antiqua" w:hAnsi="Book Antiqua"/>
          <w:i/>
          <w:iCs/>
          <w:sz w:val="32"/>
          <w:szCs w:val="32"/>
        </w:rPr>
      </w:r>
    </w:p>
    <w:p>
      <w:pPr>
        <w:pStyle w:val="style29"/>
      </w:pPr>
      <w:r>
        <w:rPr/>
      </w:r>
    </w:p>
    <w:p>
      <w:pPr>
        <w:sectPr>
          <w:headerReference r:id="rId2" w:type="first"/>
          <w:footerReference r:id="rId3" w:type="first"/>
          <w:type w:val="nextPage"/>
          <w:pgSz w:h="15840" w:w="12240"/>
          <w:pgMar w:bottom="720" w:footer="288" w:gutter="0" w:header="57" w:left="720" w:right="720" w:top="720"/>
          <w:pgNumType w:fmt="decimal"/>
          <w:formProt w:val="false"/>
          <w:titlePg/>
          <w:textDirection w:val="lrTb"/>
          <w:docGrid w:charSpace="-6145" w:linePitch="360" w:type="default"/>
        </w:sectPr>
      </w:pPr>
    </w:p>
    <w:p>
      <w:pPr>
        <w:pStyle w:val="style31"/>
        <w:tabs>
          <w:tab w:leader="none" w:pos="4320" w:val="left"/>
          <w:tab w:leader="none" w:pos="5040" w:val="left"/>
        </w:tabs>
      </w:pPr>
      <w:r>
        <w:rPr/>
      </w:r>
    </w:p>
    <w:p>
      <w:pPr>
        <w:pStyle w:val="style31"/>
        <w:tabs>
          <w:tab w:leader="none" w:pos="4320" w:val="left"/>
          <w:tab w:leader="none" w:pos="5040" w:val="left"/>
        </w:tabs>
      </w:pPr>
      <w:r>
        <w:rPr/>
        <w:t>Date______________</w:t>
      </w:r>
    </w:p>
    <w:p>
      <w:pPr>
        <w:pStyle w:val="style31"/>
        <w:tabs>
          <w:tab w:leader="none" w:pos="4320" w:val="left"/>
          <w:tab w:leader="none" w:pos="5040" w:val="left"/>
        </w:tabs>
      </w:pPr>
      <w:r>
        <w:rPr/>
      </w:r>
    </w:p>
    <w:p>
      <w:pPr>
        <w:pStyle w:val="style31"/>
        <w:tabs>
          <w:tab w:leader="none" w:pos="4320" w:val="left"/>
          <w:tab w:leader="none" w:pos="5040" w:val="left"/>
        </w:tabs>
      </w:pPr>
      <w:r>
        <w:rPr/>
      </w:r>
    </w:p>
    <w:p>
      <w:pPr>
        <w:pStyle w:val="style31"/>
        <w:tabs>
          <w:tab w:leader="none" w:pos="4320" w:val="left"/>
          <w:tab w:leader="none" w:pos="5040" w:val="left"/>
        </w:tabs>
      </w:pPr>
      <w:r>
        <w:rPr/>
      </w:r>
    </w:p>
    <w:p>
      <w:pPr>
        <w:pStyle w:val="style31"/>
        <w:tabs>
          <w:tab w:leader="none" w:pos="4320" w:val="left"/>
          <w:tab w:leader="none" w:pos="5040" w:val="left"/>
        </w:tabs>
      </w:pPr>
      <w:r>
        <w:rPr/>
        <w:t>Dear Dr. ___________________</w:t>
      </w:r>
    </w:p>
    <w:p>
      <w:pPr>
        <w:pStyle w:val="style31"/>
        <w:tabs>
          <w:tab w:leader="none" w:pos="4320" w:val="left"/>
          <w:tab w:leader="none" w:pos="5040" w:val="left"/>
        </w:tabs>
      </w:pPr>
      <w:r>
        <w:rPr/>
      </w:r>
    </w:p>
    <w:p>
      <w:pPr>
        <w:pStyle w:val="style31"/>
        <w:tabs>
          <w:tab w:leader="none" w:pos="4320" w:val="left"/>
          <w:tab w:leader="none" w:pos="5040" w:val="left"/>
        </w:tabs>
      </w:pPr>
      <w:r>
        <w:rPr/>
      </w:r>
    </w:p>
    <w:p>
      <w:pPr>
        <w:pStyle w:val="style31"/>
        <w:tabs>
          <w:tab w:leader="none" w:pos="4320" w:val="left"/>
          <w:tab w:leader="none" w:pos="5040" w:val="left"/>
        </w:tabs>
        <w:spacing w:line="480" w:lineRule="auto"/>
      </w:pPr>
      <w:r>
        <w:rPr/>
        <w:t>Per our recent implementation of a universal screening program for Lynch syndrome at St. Vincent Hospital, your patient, ______________________________, DOB________________, was identified by pathology studies as having one or more abnormalities consistent with Lynch syndrome.  Further evaluation and genetic testing is available to make a diagnosis of Lynch syndrome.  Please discuss this option with your patient and if they are in agreement with further evaluation in the Cancer Genetics Risk Assessment Program, sign and fax back the enclosed referral along with the patient’s contact information, records and insurance card. We will then contact the patient to schedule an appointment. For your patient’s benefit, we have also enclosed a patient brochure about the screening that was done.  Please feel free to contact either one of us with any questions.</w:t>
      </w:r>
    </w:p>
    <w:p>
      <w:pPr>
        <w:pStyle w:val="style31"/>
        <w:tabs>
          <w:tab w:leader="none" w:pos="4320" w:val="left"/>
          <w:tab w:leader="none" w:pos="5040" w:val="left"/>
        </w:tabs>
      </w:pPr>
      <w:r>
        <w:rPr/>
      </w:r>
    </w:p>
    <w:p>
      <w:pPr>
        <w:pStyle w:val="style31"/>
        <w:tabs>
          <w:tab w:leader="none" w:pos="4320" w:val="left"/>
          <w:tab w:leader="none" w:pos="5040" w:val="left"/>
        </w:tabs>
      </w:pPr>
      <w:r>
        <w:rPr/>
      </w:r>
    </w:p>
    <w:p>
      <w:pPr>
        <w:pStyle w:val="style31"/>
        <w:tabs>
          <w:tab w:leader="none" w:pos="4320" w:val="left"/>
          <w:tab w:leader="none" w:pos="5040" w:val="left"/>
        </w:tabs>
      </w:pPr>
      <w:r>
        <w:rPr/>
        <w:t>Sincerely,</w:t>
      </w:r>
    </w:p>
    <w:p>
      <w:pPr>
        <w:pStyle w:val="style31"/>
        <w:tabs>
          <w:tab w:leader="none" w:pos="4320" w:val="left"/>
          <w:tab w:leader="none" w:pos="5040" w:val="left"/>
        </w:tabs>
      </w:pPr>
      <w:r>
        <w:rPr/>
      </w:r>
    </w:p>
    <w:p>
      <w:pPr>
        <w:pStyle w:val="style31"/>
        <w:tabs>
          <w:tab w:leader="none" w:pos="4320" w:val="left"/>
          <w:tab w:leader="none" w:pos="5040" w:val="left"/>
        </w:tabs>
      </w:pPr>
      <w:r>
        <w:rPr/>
        <w:t>Stephanie A. Cohen, MS, CGC, LGC</w:t>
        <w:tab/>
        <w:tab/>
        <w:tab/>
      </w:r>
    </w:p>
    <w:p>
      <w:pPr>
        <w:pStyle w:val="style31"/>
        <w:tabs>
          <w:tab w:leader="none" w:pos="4320" w:val="left"/>
          <w:tab w:leader="none" w:pos="5040" w:val="left"/>
        </w:tabs>
      </w:pPr>
      <w:r>
        <w:rPr/>
        <w:t>317-415-6676</w:t>
        <w:tab/>
        <w:tab/>
        <w:tab/>
      </w:r>
    </w:p>
    <w:p>
      <w:pPr>
        <w:pStyle w:val="style31"/>
        <w:tabs>
          <w:tab w:leader="none" w:pos="4320" w:val="left"/>
          <w:tab w:leader="none" w:pos="5040" w:val="left"/>
        </w:tabs>
      </w:pPr>
      <w:r>
        <w:rPr/>
      </w:r>
    </w:p>
    <w:p>
      <w:pPr>
        <w:pStyle w:val="style31"/>
        <w:tabs>
          <w:tab w:leader="none" w:pos="4320" w:val="left"/>
          <w:tab w:leader="none" w:pos="5040" w:val="left"/>
        </w:tabs>
      </w:pPr>
      <w:r>
        <w:rPr/>
        <w:t>Dawn E. McIlvried, MS, CGC, LGC</w:t>
      </w:r>
    </w:p>
    <w:p>
      <w:pPr>
        <w:pStyle w:val="style31"/>
        <w:tabs>
          <w:tab w:leader="none" w:pos="4320" w:val="left"/>
          <w:tab w:leader="none" w:pos="5040" w:val="left"/>
        </w:tabs>
      </w:pPr>
      <w:r>
        <w:rPr/>
        <w:t>317-415-6689</w:t>
      </w:r>
    </w:p>
    <w:p>
      <w:pPr>
        <w:sectPr>
          <w:type w:val="continuous"/>
          <w:pgSz w:h="15840" w:w="12240"/>
          <w:pgMar w:bottom="720" w:footer="288" w:gutter="0" w:header="57" w:left="720" w:right="720" w:top="720"/>
          <w:formProt w:val="false"/>
          <w:textDirection w:val="lrTb"/>
          <w:docGrid w:charSpace="-6145" w:linePitch="360" w:type="default"/>
        </w:sectPr>
      </w:pPr>
    </w:p>
    <w:sectPr>
      <w:type w:val="continuous"/>
      <w:pgSz w:h="15840" w:w="12240"/>
      <w:pgMar w:bottom="720" w:footer="288" w:gutter="0" w:header="57" w:left="720" w:right="720" w:top="720"/>
      <w:pgNumType w:fmt="decimal"/>
      <w:formProt w:val="false"/>
      <w:titlePg/>
      <w:textDirection w:val="lrTb"/>
      <w:docGrid w:charSpace="-6145"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Times New Roman">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9"/>
      <w:jc w:val="center"/>
    </w:pPr>
    <w:r>
      <w:rPr/>
    </w:r>
  </w:p>
  <w:p>
    <w:pPr>
      <w:pStyle w:val="style29"/>
      <w:jc w:val="center"/>
    </w:pPr>
    <w:r>
      <w:rPr>
        <w:sz w:val="22"/>
        <w:szCs w:val="22"/>
      </w:rPr>
      <w:t>A member of</w:t>
    </w:r>
    <w:r>
      <w:rPr/>
      <w:t xml:space="preserve"> </w:t>
    </w:r>
    <w:r>
      <w:rPr/>
    </w:r>
    <w:r>
      <w:rPr>
        <w:i/>
        <w:iCs/>
      </w:rPr>
      <w:t>St.Vincent</w:t>
    </w:r>
    <w:r>
      <w:rPr/>
      <w:t xml:space="preserve"> </w:t>
    </w:r>
    <w:r>
      <w:rPr>
        <w:smallCaps/>
        <w:shadow/>
        <w:sz w:val="16"/>
        <w:szCs w:val="16"/>
      </w:rPr>
      <w:t>Health</w:t>
    </w:r>
  </w:p>
  <w:p>
    <w:pPr>
      <w:pStyle w:val="style29"/>
      <w:jc w:val="center"/>
    </w:pPr>
    <w:r>
      <w:rPr/>
    </w:r>
  </w:p>
  <w:p>
    <w:pPr>
      <w:pStyle w:val="style29"/>
    </w:pPr>
    <w:r>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8"/>
    </w:pPr>
    <w:r>
      <w:rPr>
        <w:rFonts w:ascii="Book Antiqua" w:cs="Book Antiqua" w:hAnsi="Book Antiqua"/>
        <w:b/>
        <w:bCs/>
        <w:i/>
        <w:iCs/>
        <w:sz w:val="22"/>
        <w:szCs w:val="22"/>
      </w:rPr>
      <w:t xml:space="preserve">      </w:t>
    </w:r>
  </w:p>
</w:hdr>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spacing w:after="0" w:before="0" w:line="100" w:lineRule="atLeast"/>
    </w:pPr>
    <w:rPr>
      <w:rFonts w:ascii="Times New Roman" w:cs="Times New Roman" w:eastAsia="Times New Roman" w:hAnsi="Times New Roman"/>
      <w:color w:val="auto"/>
      <w:sz w:val="24"/>
      <w:szCs w:val="24"/>
      <w:lang w:bidi="ar-SA" w:eastAsia="en-US" w:val="en-US"/>
    </w:rPr>
  </w:style>
  <w:style w:styleId="style15" w:type="character">
    <w:name w:val="Default Paragraph Font"/>
    <w:next w:val="style15"/>
    <w:rPr/>
  </w:style>
  <w:style w:styleId="style16" w:type="character">
    <w:name w:val="Header Char"/>
    <w:basedOn w:val="style15"/>
    <w:next w:val="style16"/>
    <w:rPr>
      <w:rFonts w:cs="Times New Roman"/>
      <w:sz w:val="24"/>
      <w:szCs w:val="24"/>
    </w:rPr>
  </w:style>
  <w:style w:styleId="style17" w:type="character">
    <w:name w:val="Footer Char"/>
    <w:basedOn w:val="style15"/>
    <w:next w:val="style17"/>
    <w:rPr>
      <w:rFonts w:cs="Times New Roman"/>
      <w:sz w:val="24"/>
      <w:szCs w:val="24"/>
    </w:rPr>
  </w:style>
  <w:style w:styleId="style18" w:type="character">
    <w:name w:val="page number"/>
    <w:basedOn w:val="style15"/>
    <w:next w:val="style18"/>
    <w:rPr>
      <w:rFonts w:cs="Times New Roman"/>
    </w:rPr>
  </w:style>
  <w:style w:styleId="style19" w:type="character">
    <w:name w:val="list_address1"/>
    <w:basedOn w:val="style15"/>
    <w:next w:val="style19"/>
    <w:rPr>
      <w:rFonts w:cs="Times New Roman"/>
      <w:color w:val="00000A"/>
      <w:sz w:val="2"/>
      <w:szCs w:val="2"/>
    </w:rPr>
  </w:style>
  <w:style w:styleId="style20" w:type="character">
    <w:name w:val="Balloon Text Char"/>
    <w:basedOn w:val="style15"/>
    <w:next w:val="style20"/>
    <w:rPr>
      <w:rFonts w:ascii="Tahoma" w:cs="Tahoma" w:hAnsi="Tahoma"/>
      <w:sz w:val="16"/>
      <w:szCs w:val="16"/>
    </w:rPr>
  </w:style>
  <w:style w:styleId="style21" w:type="character">
    <w:name w:val="labels1"/>
    <w:basedOn w:val="style15"/>
    <w:next w:val="style21"/>
    <w:rPr>
      <w:rFonts w:cs="Times New Roman"/>
      <w:color w:val="00000A"/>
      <w:sz w:val="16"/>
      <w:szCs w:val="16"/>
      <w:u w:val="none"/>
      <w:effect w:val="none"/>
    </w:rPr>
  </w:style>
  <w:style w:styleId="style22" w:type="character">
    <w:name w:val="Body Text Char"/>
    <w:basedOn w:val="style15"/>
    <w:next w:val="style22"/>
    <w:rPr>
      <w:rFonts w:cs="Times New Roman"/>
      <w:sz w:val="24"/>
      <w:szCs w:val="24"/>
    </w:rPr>
  </w:style>
  <w:style w:styleId="style23" w:type="paragraph">
    <w:name w:val="Heading"/>
    <w:basedOn w:val="style0"/>
    <w:next w:val="style24"/>
    <w:pPr>
      <w:keepNext/>
      <w:spacing w:after="120" w:before="240"/>
    </w:pPr>
    <w:rPr>
      <w:rFonts w:ascii="Liberation Sans" w:cs="Lohit Hindi" w:eastAsia="Droid Sans Fallback" w:hAnsi="Liberation Sans"/>
      <w:sz w:val="28"/>
      <w:szCs w:val="28"/>
    </w:rPr>
  </w:style>
  <w:style w:styleId="style24" w:type="paragraph">
    <w:name w:val="Text body"/>
    <w:basedOn w:val="style0"/>
    <w:next w:val="style24"/>
    <w:pPr>
      <w:jc w:val="both"/>
    </w:pPr>
    <w:rPr>
      <w:szCs w:val="20"/>
    </w:rPr>
  </w:style>
  <w:style w:styleId="style25" w:type="paragraph">
    <w:name w:val="List"/>
    <w:basedOn w:val="style24"/>
    <w:next w:val="style25"/>
    <w:pPr/>
    <w:rPr>
      <w:rFonts w:cs="Lohit Hindi"/>
    </w:rPr>
  </w:style>
  <w:style w:styleId="style26" w:type="paragraph">
    <w:name w:val="Caption"/>
    <w:basedOn w:val="style0"/>
    <w:next w:val="style26"/>
    <w:pPr>
      <w:suppressLineNumbers/>
      <w:spacing w:after="120" w:before="120"/>
    </w:pPr>
    <w:rPr>
      <w:rFonts w:cs="Lohit Hindi"/>
      <w:i/>
      <w:iCs/>
      <w:sz w:val="24"/>
      <w:szCs w:val="24"/>
    </w:rPr>
  </w:style>
  <w:style w:styleId="style27" w:type="paragraph">
    <w:name w:val="Index"/>
    <w:basedOn w:val="style0"/>
    <w:next w:val="style27"/>
    <w:pPr>
      <w:suppressLineNumbers/>
    </w:pPr>
    <w:rPr>
      <w:rFonts w:cs="Lohit Hindi"/>
    </w:rPr>
  </w:style>
  <w:style w:styleId="style28" w:type="paragraph">
    <w:name w:val="Header"/>
    <w:basedOn w:val="style0"/>
    <w:next w:val="style28"/>
    <w:pPr>
      <w:suppressLineNumbers/>
      <w:tabs>
        <w:tab w:leader="none" w:pos="4320" w:val="center"/>
        <w:tab w:leader="none" w:pos="8640" w:val="right"/>
      </w:tabs>
    </w:pPr>
    <w:rPr/>
  </w:style>
  <w:style w:styleId="style29" w:type="paragraph">
    <w:name w:val="Footer"/>
    <w:basedOn w:val="style0"/>
    <w:next w:val="style29"/>
    <w:pPr>
      <w:suppressLineNumbers/>
      <w:tabs>
        <w:tab w:leader="none" w:pos="4320" w:val="center"/>
        <w:tab w:leader="none" w:pos="8640" w:val="right"/>
      </w:tabs>
    </w:pPr>
    <w:rPr/>
  </w:style>
  <w:style w:styleId="style30" w:type="paragraph">
    <w:name w:val="Balloon Text"/>
    <w:basedOn w:val="style0"/>
    <w:next w:val="style30"/>
    <w:pPr/>
    <w:rPr>
      <w:rFonts w:ascii="Tahoma" w:cs="Tahoma" w:hAnsi="Tahoma"/>
      <w:sz w:val="16"/>
      <w:szCs w:val="16"/>
    </w:rPr>
  </w:style>
  <w:style w:styleId="style31" w:type="paragraph">
    <w:name w:val="Default Text"/>
    <w:basedOn w:val="style0"/>
    <w:next w:val="style31"/>
    <w:pPr/>
    <w:rPr>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10</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2012-02-22T16:10:00.00Z</dcterms:created>
  <dc:creator>stv</dc:creator>
  <cp:lastModifiedBy>SACohen</cp:lastModifiedBy>
  <cp:lastPrinted>2007-07-16T13:11:00.00Z</cp:lastPrinted>
  <dcterms:modified xsi:type="dcterms:W3CDTF">2012-02-22T16:10:00.00Z</dcterms:modified>
  <cp:revision>2</cp:revision>
  <dc:title>  </dc:title>
</cp:coreProperties>
</file>